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0A" w:rsidRDefault="00C1685D" w:rsidP="007B1EF2">
      <w:pPr>
        <w:pStyle w:val="a5"/>
        <w:spacing w:beforeLines="50" w:before="156" w:beforeAutospacing="0" w:after="0" w:afterAutospacing="0" w:line="480" w:lineRule="exact"/>
        <w:jc w:val="center"/>
        <w:rPr>
          <w:rFonts w:ascii="华文仿宋" w:eastAsia="华文仿宋" w:hAnsi="华文仿宋"/>
          <w:b/>
          <w:bCs/>
          <w:kern w:val="2"/>
          <w:sz w:val="32"/>
          <w:szCs w:val="32"/>
        </w:rPr>
      </w:pPr>
      <w:bookmarkStart w:id="0" w:name="_GoBack"/>
      <w:bookmarkEnd w:id="0"/>
      <w:r>
        <w:rPr>
          <w:rFonts w:ascii="华文仿宋" w:eastAsia="华文仿宋" w:hAnsi="华文仿宋" w:hint="eastAsia"/>
          <w:b/>
          <w:bCs/>
          <w:kern w:val="2"/>
          <w:sz w:val="32"/>
          <w:szCs w:val="32"/>
        </w:rPr>
        <w:t>江汉大学</w:t>
      </w:r>
      <w:r>
        <w:rPr>
          <w:rFonts w:ascii="华文仿宋" w:eastAsia="华文仿宋" w:hAnsi="华文仿宋" w:hint="eastAsia"/>
          <w:b/>
          <w:bCs/>
          <w:kern w:val="2"/>
          <w:sz w:val="32"/>
          <w:szCs w:val="32"/>
        </w:rPr>
        <w:t>2019</w:t>
      </w:r>
      <w:r>
        <w:rPr>
          <w:rFonts w:ascii="华文仿宋" w:eastAsia="华文仿宋" w:hAnsi="华文仿宋" w:hint="eastAsia"/>
          <w:b/>
          <w:bCs/>
          <w:kern w:val="2"/>
          <w:sz w:val="32"/>
          <w:szCs w:val="32"/>
        </w:rPr>
        <w:t>年研究生招生复试考试科目、成绩计算办法及接收调剂条件</w:t>
      </w:r>
    </w:p>
    <w:p w:rsidR="005D750A" w:rsidRDefault="00C1685D" w:rsidP="007B1EF2">
      <w:pPr>
        <w:pStyle w:val="a5"/>
        <w:spacing w:beforeLines="50" w:before="156" w:beforeAutospacing="0" w:after="0" w:afterAutospacing="0" w:line="480" w:lineRule="exact"/>
        <w:jc w:val="center"/>
        <w:rPr>
          <w:rFonts w:ascii="华文仿宋" w:eastAsia="华文仿宋" w:hAnsi="华文仿宋"/>
          <w:b/>
          <w:bCs/>
          <w:kern w:val="2"/>
          <w:sz w:val="28"/>
          <w:szCs w:val="28"/>
        </w:rPr>
      </w:pPr>
      <w:r>
        <w:rPr>
          <w:rFonts w:ascii="华文仿宋" w:eastAsia="华文仿宋" w:hAnsi="华文仿宋" w:hint="eastAsia"/>
          <w:b/>
          <w:bCs/>
          <w:kern w:val="2"/>
          <w:sz w:val="32"/>
          <w:szCs w:val="32"/>
        </w:rPr>
        <w:t>（</w:t>
      </w:r>
      <w:r>
        <w:rPr>
          <w:rFonts w:ascii="华文仿宋" w:eastAsia="华文仿宋" w:hAnsi="华文仿宋" w:hint="eastAsia"/>
          <w:b/>
          <w:color w:val="000000"/>
          <w:sz w:val="28"/>
          <w:szCs w:val="28"/>
        </w:rPr>
        <w:t>教育</w:t>
      </w:r>
      <w:r>
        <w:rPr>
          <w:rFonts w:ascii="华文仿宋" w:eastAsia="华文仿宋" w:hAnsi="华文仿宋" w:hint="eastAsia"/>
          <w:b/>
          <w:bCs/>
          <w:kern w:val="2"/>
          <w:sz w:val="32"/>
          <w:szCs w:val="32"/>
        </w:rPr>
        <w:t>）</w:t>
      </w:r>
    </w:p>
    <w:p w:rsidR="005D750A" w:rsidRDefault="00C1685D" w:rsidP="007B1EF2">
      <w:pPr>
        <w:pStyle w:val="a5"/>
        <w:numPr>
          <w:ilvl w:val="0"/>
          <w:numId w:val="1"/>
        </w:numPr>
        <w:spacing w:beforeLines="100" w:before="312" w:beforeAutospacing="0" w:afterLines="50" w:after="156"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复试考试科目</w:t>
      </w:r>
    </w:p>
    <w:tbl>
      <w:tblPr>
        <w:tblW w:w="7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1746"/>
        <w:gridCol w:w="2741"/>
        <w:gridCol w:w="1563"/>
      </w:tblGrid>
      <w:tr w:rsidR="005D750A">
        <w:trPr>
          <w:jc w:val="center"/>
        </w:trPr>
        <w:tc>
          <w:tcPr>
            <w:tcW w:w="1469" w:type="dxa"/>
            <w:tcBorders>
              <w:left w:val="single" w:sz="4" w:space="0" w:color="auto"/>
              <w:right w:val="single" w:sz="4" w:space="0" w:color="auto"/>
            </w:tcBorders>
            <w:vAlign w:val="center"/>
          </w:tcPr>
          <w:p w:rsidR="005D750A" w:rsidRDefault="00C1685D">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招生单位</w:t>
            </w:r>
          </w:p>
        </w:tc>
        <w:tc>
          <w:tcPr>
            <w:tcW w:w="1746" w:type="dxa"/>
            <w:tcBorders>
              <w:left w:val="single" w:sz="4" w:space="0" w:color="auto"/>
              <w:right w:val="single" w:sz="4" w:space="0" w:color="auto"/>
            </w:tcBorders>
            <w:vAlign w:val="center"/>
          </w:tcPr>
          <w:p w:rsidR="005D750A" w:rsidRDefault="00C1685D">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招生专业</w:t>
            </w:r>
          </w:p>
        </w:tc>
        <w:tc>
          <w:tcPr>
            <w:tcW w:w="2741" w:type="dxa"/>
            <w:tcBorders>
              <w:left w:val="single" w:sz="4" w:space="0" w:color="auto"/>
              <w:right w:val="single" w:sz="4" w:space="0" w:color="auto"/>
            </w:tcBorders>
            <w:vAlign w:val="center"/>
          </w:tcPr>
          <w:p w:rsidR="005D750A" w:rsidRDefault="00C1685D">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复试科目（</w:t>
            </w:r>
            <w:r>
              <w:rPr>
                <w:rFonts w:ascii="华文仿宋" w:eastAsia="华文仿宋" w:hAnsi="华文仿宋" w:hint="eastAsia"/>
                <w:b/>
                <w:color w:val="000000"/>
                <w:szCs w:val="21"/>
              </w:rPr>
              <w:t>100</w:t>
            </w:r>
            <w:r>
              <w:rPr>
                <w:rFonts w:ascii="华文仿宋" w:eastAsia="华文仿宋" w:hAnsi="华文仿宋" w:hint="eastAsia"/>
                <w:b/>
                <w:color w:val="000000"/>
                <w:szCs w:val="21"/>
              </w:rPr>
              <w:t>分）</w:t>
            </w:r>
          </w:p>
        </w:tc>
        <w:tc>
          <w:tcPr>
            <w:tcW w:w="1563" w:type="dxa"/>
            <w:tcBorders>
              <w:left w:val="single" w:sz="4" w:space="0" w:color="auto"/>
            </w:tcBorders>
            <w:vAlign w:val="center"/>
          </w:tcPr>
          <w:p w:rsidR="005D750A" w:rsidRDefault="00C1685D">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同等学力加试</w:t>
            </w:r>
          </w:p>
        </w:tc>
      </w:tr>
      <w:tr w:rsidR="005D750A">
        <w:trPr>
          <w:trHeight w:val="375"/>
          <w:jc w:val="center"/>
        </w:trPr>
        <w:tc>
          <w:tcPr>
            <w:tcW w:w="1469" w:type="dxa"/>
            <w:vMerge w:val="restart"/>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教育学院</w:t>
            </w: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小学教育</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教育理论与实践问题</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普通心理学、教育研究方法</w:t>
            </w:r>
          </w:p>
        </w:tc>
      </w:tr>
      <w:tr w:rsidR="005D750A">
        <w:trPr>
          <w:trHeight w:val="68"/>
          <w:jc w:val="center"/>
        </w:trPr>
        <w:tc>
          <w:tcPr>
            <w:tcW w:w="1469" w:type="dxa"/>
            <w:vMerge/>
            <w:tcBorders>
              <w:left w:val="single" w:sz="4" w:space="0" w:color="auto"/>
              <w:right w:val="single" w:sz="4" w:space="0" w:color="auto"/>
            </w:tcBorders>
            <w:vAlign w:val="center"/>
          </w:tcPr>
          <w:p w:rsidR="005D750A" w:rsidRDefault="005D750A">
            <w:pPr>
              <w:spacing w:line="0" w:lineRule="atLeast"/>
              <w:rPr>
                <w:rFonts w:ascii="华文仿宋" w:eastAsia="华文仿宋" w:hAnsi="华文仿宋"/>
                <w:color w:val="000000"/>
                <w:szCs w:val="21"/>
              </w:rPr>
            </w:pP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心理健康教育</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心理咨询理论与实践</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普通心理学、发展心理学</w:t>
            </w:r>
          </w:p>
        </w:tc>
      </w:tr>
      <w:tr w:rsidR="005D750A">
        <w:trPr>
          <w:trHeight w:val="68"/>
          <w:jc w:val="center"/>
        </w:trPr>
        <w:tc>
          <w:tcPr>
            <w:tcW w:w="1469" w:type="dxa"/>
            <w:vMerge/>
            <w:tcBorders>
              <w:left w:val="single" w:sz="4" w:space="0" w:color="auto"/>
              <w:right w:val="single" w:sz="4" w:space="0" w:color="auto"/>
            </w:tcBorders>
            <w:vAlign w:val="center"/>
          </w:tcPr>
          <w:p w:rsidR="005D750A" w:rsidRDefault="005D750A">
            <w:pPr>
              <w:spacing w:line="0" w:lineRule="atLeast"/>
              <w:rPr>
                <w:rFonts w:ascii="华文仿宋" w:eastAsia="华文仿宋" w:hAnsi="华文仿宋"/>
                <w:color w:val="000000"/>
                <w:szCs w:val="21"/>
              </w:rPr>
            </w:pP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现代教育技术</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多媒体教学软件设计与开发</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计算机技术基础、教育研究方法</w:t>
            </w:r>
          </w:p>
        </w:tc>
      </w:tr>
      <w:tr w:rsidR="005D750A">
        <w:trPr>
          <w:trHeight w:val="68"/>
          <w:jc w:val="center"/>
        </w:trPr>
        <w:tc>
          <w:tcPr>
            <w:tcW w:w="1469" w:type="dxa"/>
            <w:vMerge w:val="restart"/>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人文学院</w:t>
            </w: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学科教学（语文）</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语文教学法</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普通心理学、教育研究方法</w:t>
            </w:r>
          </w:p>
        </w:tc>
      </w:tr>
      <w:tr w:rsidR="005D750A">
        <w:trPr>
          <w:trHeight w:val="68"/>
          <w:jc w:val="center"/>
        </w:trPr>
        <w:tc>
          <w:tcPr>
            <w:tcW w:w="1469" w:type="dxa"/>
            <w:vMerge/>
            <w:tcBorders>
              <w:left w:val="single" w:sz="4" w:space="0" w:color="auto"/>
              <w:right w:val="single" w:sz="4" w:space="0" w:color="auto"/>
            </w:tcBorders>
            <w:vAlign w:val="center"/>
          </w:tcPr>
          <w:p w:rsidR="005D750A" w:rsidRDefault="005D750A">
            <w:pPr>
              <w:spacing w:line="0" w:lineRule="atLeast"/>
              <w:rPr>
                <w:rFonts w:ascii="华文仿宋" w:eastAsia="华文仿宋" w:hAnsi="华文仿宋"/>
                <w:color w:val="000000"/>
                <w:szCs w:val="21"/>
              </w:rPr>
            </w:pP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学科教学（历史）</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历史教学法</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中国近现代史、世界通史</w:t>
            </w:r>
          </w:p>
        </w:tc>
      </w:tr>
      <w:tr w:rsidR="005D750A">
        <w:trPr>
          <w:trHeight w:val="68"/>
          <w:jc w:val="center"/>
        </w:trPr>
        <w:tc>
          <w:tcPr>
            <w:tcW w:w="1469"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数学与计算机科学学院</w:t>
            </w: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学科教学（数学）</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数学教育概论</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数学教学研究、教育研究方法</w:t>
            </w:r>
          </w:p>
        </w:tc>
      </w:tr>
      <w:tr w:rsidR="005D750A">
        <w:trPr>
          <w:trHeight w:val="68"/>
          <w:jc w:val="center"/>
        </w:trPr>
        <w:tc>
          <w:tcPr>
            <w:tcW w:w="1469"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外国语学院</w:t>
            </w:r>
          </w:p>
        </w:tc>
        <w:tc>
          <w:tcPr>
            <w:tcW w:w="1746" w:type="dxa"/>
            <w:tcBorders>
              <w:left w:val="single" w:sz="4" w:space="0" w:color="auto"/>
            </w:tcBorders>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学科教学（英语）</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FF0000"/>
                <w:szCs w:val="21"/>
              </w:rPr>
            </w:pPr>
            <w:r>
              <w:rPr>
                <w:rFonts w:ascii="华文仿宋" w:eastAsia="华文仿宋" w:hAnsi="华文仿宋" w:hint="eastAsia"/>
                <w:color w:val="000000"/>
                <w:szCs w:val="21"/>
              </w:rPr>
              <w:t>英语教学法</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普通心理学、教育研究方法</w:t>
            </w:r>
          </w:p>
        </w:tc>
      </w:tr>
      <w:tr w:rsidR="005D750A">
        <w:trPr>
          <w:trHeight w:val="68"/>
          <w:jc w:val="center"/>
        </w:trPr>
        <w:tc>
          <w:tcPr>
            <w:tcW w:w="1469"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马克思主义学院</w:t>
            </w: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学科教学（思政）</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思想政治课程教学法</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普通心理学、教育研究方法</w:t>
            </w:r>
          </w:p>
        </w:tc>
      </w:tr>
      <w:tr w:rsidR="005D750A">
        <w:trPr>
          <w:trHeight w:val="68"/>
          <w:jc w:val="center"/>
        </w:trPr>
        <w:tc>
          <w:tcPr>
            <w:tcW w:w="1469"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体育学院</w:t>
            </w:r>
          </w:p>
        </w:tc>
        <w:tc>
          <w:tcPr>
            <w:tcW w:w="1746"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学科教学（体育）</w:t>
            </w:r>
          </w:p>
        </w:tc>
        <w:tc>
          <w:tcPr>
            <w:tcW w:w="2741" w:type="dxa"/>
            <w:tcBorders>
              <w:left w:val="single" w:sz="4" w:space="0" w:color="auto"/>
              <w:righ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运动专项技术</w:t>
            </w:r>
          </w:p>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（考生从田径、体操、健美操、武术、篮球、足球、排球、乒乓球、羽毛球、网球、龙舟、高尔夫项目中任选</w:t>
            </w:r>
            <w:r>
              <w:rPr>
                <w:rFonts w:ascii="华文仿宋" w:eastAsia="华文仿宋" w:hAnsi="华文仿宋" w:hint="eastAsia"/>
                <w:color w:val="000000"/>
                <w:szCs w:val="21"/>
              </w:rPr>
              <w:t>1</w:t>
            </w:r>
            <w:r>
              <w:rPr>
                <w:rFonts w:ascii="华文仿宋" w:eastAsia="华文仿宋" w:hAnsi="华文仿宋" w:hint="eastAsia"/>
                <w:color w:val="000000"/>
                <w:szCs w:val="21"/>
              </w:rPr>
              <w:t>主项和</w:t>
            </w:r>
            <w:r>
              <w:rPr>
                <w:rFonts w:ascii="华文仿宋" w:eastAsia="华文仿宋" w:hAnsi="华文仿宋" w:hint="eastAsia"/>
                <w:color w:val="000000"/>
                <w:szCs w:val="21"/>
              </w:rPr>
              <w:t>1</w:t>
            </w:r>
            <w:r>
              <w:rPr>
                <w:rFonts w:ascii="华文仿宋" w:eastAsia="华文仿宋" w:hAnsi="华文仿宋" w:hint="eastAsia"/>
                <w:color w:val="000000"/>
                <w:szCs w:val="21"/>
              </w:rPr>
              <w:t>副项进行技术测试。）</w:t>
            </w:r>
          </w:p>
        </w:tc>
        <w:tc>
          <w:tcPr>
            <w:tcW w:w="1563" w:type="dxa"/>
            <w:tcBorders>
              <w:left w:val="single" w:sz="4" w:space="0" w:color="auto"/>
            </w:tcBorders>
            <w:vAlign w:val="center"/>
          </w:tcPr>
          <w:p w:rsidR="005D750A" w:rsidRDefault="00C1685D">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体育概论、运动竞赛学</w:t>
            </w:r>
          </w:p>
        </w:tc>
      </w:tr>
    </w:tbl>
    <w:p w:rsidR="005D750A" w:rsidRDefault="00C1685D" w:rsidP="007B1EF2">
      <w:pPr>
        <w:pStyle w:val="a5"/>
        <w:numPr>
          <w:ilvl w:val="0"/>
          <w:numId w:val="2"/>
        </w:numPr>
        <w:spacing w:beforeLines="50" w:before="156" w:beforeAutospacing="0" w:after="0"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成绩计算办法</w:t>
      </w:r>
    </w:p>
    <w:p w:rsidR="005D750A" w:rsidRDefault="00C1685D" w:rsidP="007B1EF2">
      <w:pPr>
        <w:pStyle w:val="a5"/>
        <w:spacing w:beforeLines="50" w:before="156" w:beforeAutospacing="0" w:afterLines="50" w:after="156" w:afterAutospacing="0" w:line="460" w:lineRule="exact"/>
        <w:ind w:firstLineChars="200" w:firstLine="588"/>
        <w:jc w:val="both"/>
        <w:rPr>
          <w:rFonts w:ascii="华文仿宋" w:eastAsia="华文仿宋" w:hAnsi="华文仿宋"/>
          <w:bCs/>
          <w:color w:val="000000"/>
          <w:sz w:val="28"/>
          <w:szCs w:val="28"/>
        </w:rPr>
      </w:pPr>
      <w:r>
        <w:rPr>
          <w:rFonts w:ascii="华文仿宋" w:eastAsia="华文仿宋" w:hAnsi="华文仿宋" w:hint="eastAsia"/>
          <w:bCs/>
          <w:color w:val="000000"/>
          <w:sz w:val="28"/>
          <w:szCs w:val="28"/>
        </w:rPr>
        <w:lastRenderedPageBreak/>
        <w:t>复试成绩与初试成绩各占</w:t>
      </w:r>
      <w:r>
        <w:rPr>
          <w:rFonts w:ascii="华文仿宋" w:eastAsia="华文仿宋" w:hAnsi="华文仿宋" w:hint="eastAsia"/>
          <w:bCs/>
          <w:color w:val="000000"/>
          <w:sz w:val="28"/>
          <w:szCs w:val="28"/>
        </w:rPr>
        <w:t>50%</w:t>
      </w:r>
      <w:r>
        <w:rPr>
          <w:rFonts w:ascii="华文仿宋" w:eastAsia="华文仿宋" w:hAnsi="华文仿宋" w:hint="eastAsia"/>
          <w:bCs/>
          <w:color w:val="000000"/>
          <w:sz w:val="28"/>
          <w:szCs w:val="28"/>
        </w:rPr>
        <w:t>作为录取成绩，其中复试成绩由专业能力测试、外国语能力测试、综合素质和能力面试成绩构成，总分</w:t>
      </w:r>
      <w:r>
        <w:rPr>
          <w:rFonts w:ascii="华文仿宋" w:eastAsia="华文仿宋" w:hAnsi="华文仿宋" w:hint="eastAsia"/>
          <w:bCs/>
          <w:color w:val="000000"/>
          <w:sz w:val="28"/>
          <w:szCs w:val="28"/>
        </w:rPr>
        <w:t>100</w:t>
      </w:r>
      <w:r>
        <w:rPr>
          <w:rFonts w:ascii="华文仿宋" w:eastAsia="华文仿宋" w:hAnsi="华文仿宋" w:hint="eastAsia"/>
          <w:bCs/>
          <w:color w:val="000000"/>
          <w:sz w:val="28"/>
          <w:szCs w:val="28"/>
        </w:rPr>
        <w:t>分，复试成绩构成比例如下：</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701"/>
        <w:gridCol w:w="1701"/>
        <w:gridCol w:w="1701"/>
      </w:tblGrid>
      <w:tr w:rsidR="005D750A">
        <w:trPr>
          <w:trHeight w:val="340"/>
          <w:jc w:val="center"/>
        </w:trPr>
        <w:tc>
          <w:tcPr>
            <w:tcW w:w="3085" w:type="dxa"/>
            <w:vMerge w:val="restart"/>
            <w:vAlign w:val="center"/>
          </w:tcPr>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学科类别</w:t>
            </w:r>
          </w:p>
        </w:tc>
        <w:tc>
          <w:tcPr>
            <w:tcW w:w="5103" w:type="dxa"/>
            <w:gridSpan w:val="3"/>
            <w:vAlign w:val="center"/>
          </w:tcPr>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复试成绩所占比例</w:t>
            </w:r>
          </w:p>
        </w:tc>
      </w:tr>
      <w:tr w:rsidR="005D750A">
        <w:trPr>
          <w:trHeight w:val="340"/>
          <w:jc w:val="center"/>
        </w:trPr>
        <w:tc>
          <w:tcPr>
            <w:tcW w:w="3085" w:type="dxa"/>
            <w:vMerge/>
            <w:vAlign w:val="center"/>
          </w:tcPr>
          <w:p w:rsidR="005D750A" w:rsidRDefault="005D750A">
            <w:pPr>
              <w:pStyle w:val="a5"/>
              <w:spacing w:before="0" w:beforeAutospacing="0" w:after="0" w:afterAutospacing="0" w:line="0" w:lineRule="atLeast"/>
              <w:jc w:val="both"/>
              <w:rPr>
                <w:rFonts w:ascii="华文仿宋" w:eastAsia="华文仿宋" w:hAnsi="华文仿宋"/>
                <w:b/>
                <w:bCs/>
                <w:kern w:val="2"/>
                <w:sz w:val="21"/>
                <w:szCs w:val="21"/>
              </w:rPr>
            </w:pP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专业能力</w:t>
            </w:r>
          </w:p>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测试</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外国语</w:t>
            </w:r>
          </w:p>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能力测试</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综合素质和</w:t>
            </w:r>
          </w:p>
          <w:p w:rsidR="005D750A" w:rsidRDefault="00C1685D">
            <w:pPr>
              <w:pStyle w:val="a5"/>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能力面试</w:t>
            </w:r>
          </w:p>
        </w:tc>
      </w:tr>
      <w:tr w:rsidR="005D750A">
        <w:trPr>
          <w:trHeight w:val="340"/>
          <w:jc w:val="center"/>
        </w:trPr>
        <w:tc>
          <w:tcPr>
            <w:tcW w:w="3085" w:type="dxa"/>
            <w:tcBorders>
              <w:top w:val="single" w:sz="4" w:space="0" w:color="auto"/>
            </w:tcBorders>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学科教学（思政、语文、历史、英语、数学），小学教育，心理健康教育，现代教育技术</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30%</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20%</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50%</w:t>
            </w:r>
          </w:p>
        </w:tc>
      </w:tr>
      <w:tr w:rsidR="005D750A">
        <w:trPr>
          <w:trHeight w:val="340"/>
          <w:jc w:val="center"/>
        </w:trPr>
        <w:tc>
          <w:tcPr>
            <w:tcW w:w="3085" w:type="dxa"/>
            <w:tcBorders>
              <w:top w:val="single" w:sz="4" w:space="0" w:color="auto"/>
            </w:tcBorders>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学科教学（体育）</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40%</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20%</w:t>
            </w:r>
          </w:p>
        </w:tc>
        <w:tc>
          <w:tcPr>
            <w:tcW w:w="1701" w:type="dxa"/>
            <w:vAlign w:val="center"/>
          </w:tcPr>
          <w:p w:rsidR="005D750A" w:rsidRDefault="00C1685D">
            <w:pPr>
              <w:pStyle w:val="a5"/>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40%</w:t>
            </w:r>
          </w:p>
        </w:tc>
      </w:tr>
    </w:tbl>
    <w:p w:rsidR="005D750A" w:rsidRDefault="00C1685D" w:rsidP="005D750A">
      <w:pPr>
        <w:pStyle w:val="a5"/>
        <w:spacing w:beforeLines="50" w:before="156" w:beforeAutospacing="0" w:afterLines="50" w:after="156" w:afterAutospacing="0" w:line="460" w:lineRule="exact"/>
        <w:ind w:firstLineChars="200" w:firstLine="588"/>
        <w:jc w:val="both"/>
        <w:rPr>
          <w:rFonts w:ascii="华文仿宋" w:eastAsia="华文仿宋" w:hAnsi="华文仿宋"/>
          <w:bCs/>
          <w:color w:val="000000"/>
          <w:sz w:val="28"/>
          <w:szCs w:val="28"/>
        </w:rPr>
      </w:pPr>
      <w:r>
        <w:rPr>
          <w:rFonts w:ascii="华文仿宋" w:eastAsia="华文仿宋" w:hAnsi="华文仿宋" w:hint="eastAsia"/>
          <w:bCs/>
          <w:color w:val="000000"/>
          <w:sz w:val="28"/>
          <w:szCs w:val="28"/>
        </w:rPr>
        <w:t>国家一级及以上等级运动员或国家级及以上等级裁判员或获得全国比赛前三名个人、集体项目主力队员，复试成绩加</w:t>
      </w:r>
      <w:r>
        <w:rPr>
          <w:rFonts w:ascii="华文仿宋" w:eastAsia="华文仿宋" w:hAnsi="华文仿宋" w:hint="eastAsia"/>
          <w:bCs/>
          <w:color w:val="000000"/>
          <w:sz w:val="28"/>
          <w:szCs w:val="28"/>
        </w:rPr>
        <w:t>5</w:t>
      </w:r>
      <w:r>
        <w:rPr>
          <w:rFonts w:ascii="华文仿宋" w:eastAsia="华文仿宋" w:hAnsi="华文仿宋" w:hint="eastAsia"/>
          <w:bCs/>
          <w:color w:val="000000"/>
          <w:sz w:val="28"/>
          <w:szCs w:val="28"/>
        </w:rPr>
        <w:t>分。</w:t>
      </w:r>
    </w:p>
    <w:sectPr w:rsidR="005D750A">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5D" w:rsidRDefault="00C1685D">
      <w:r>
        <w:separator/>
      </w:r>
    </w:p>
  </w:endnote>
  <w:endnote w:type="continuationSeparator" w:id="0">
    <w:p w:rsidR="00C1685D" w:rsidRDefault="00C1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altName w:val="Malgun Gothic Semilight"/>
    <w:charset w:val="86"/>
    <w:family w:val="auto"/>
    <w:pitch w:val="default"/>
    <w:sig w:usb0="00000000"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0A" w:rsidRDefault="005D750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648"/>
    </w:sdtPr>
    <w:sdtEndPr/>
    <w:sdtContent>
      <w:p w:rsidR="005D750A" w:rsidRDefault="00C1685D">
        <w:pPr>
          <w:pStyle w:val="a3"/>
          <w:jc w:val="center"/>
        </w:pPr>
        <w:r>
          <w:fldChar w:fldCharType="begin"/>
        </w:r>
        <w:r>
          <w:instrText xml:space="preserve"> PAGE   \* MERGEFORMAT </w:instrText>
        </w:r>
        <w:r>
          <w:fldChar w:fldCharType="separate"/>
        </w:r>
        <w:r w:rsidR="007B1EF2" w:rsidRPr="007B1EF2">
          <w:rPr>
            <w:noProof/>
            <w:lang w:val="zh-CN"/>
          </w:rPr>
          <w:t>1</w:t>
        </w:r>
        <w:r>
          <w:rPr>
            <w:lang w:val="zh-CN"/>
          </w:rPr>
          <w:fldChar w:fldCharType="end"/>
        </w:r>
      </w:p>
    </w:sdtContent>
  </w:sdt>
  <w:p w:rsidR="005D750A" w:rsidRDefault="005D750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0A" w:rsidRDefault="005D750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5D" w:rsidRDefault="00C1685D">
      <w:r>
        <w:separator/>
      </w:r>
    </w:p>
  </w:footnote>
  <w:footnote w:type="continuationSeparator" w:id="0">
    <w:p w:rsidR="00C1685D" w:rsidRDefault="00C16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0A" w:rsidRDefault="005D75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0A" w:rsidRDefault="005D75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1EE73"/>
    <w:multiLevelType w:val="singleLevel"/>
    <w:tmpl w:val="CA21EE73"/>
    <w:lvl w:ilvl="0">
      <w:start w:val="1"/>
      <w:numFmt w:val="chineseCounting"/>
      <w:suff w:val="nothing"/>
      <w:lvlText w:val="%1、"/>
      <w:lvlJc w:val="left"/>
      <w:rPr>
        <w:rFonts w:hint="eastAsia"/>
      </w:rPr>
    </w:lvl>
  </w:abstractNum>
  <w:abstractNum w:abstractNumId="1">
    <w:nsid w:val="D67E960E"/>
    <w:multiLevelType w:val="singleLevel"/>
    <w:tmpl w:val="D67E960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0E2"/>
    <w:rsid w:val="004F00F5"/>
    <w:rsid w:val="005D750A"/>
    <w:rsid w:val="007B1EF2"/>
    <w:rsid w:val="00803D45"/>
    <w:rsid w:val="00AC50E2"/>
    <w:rsid w:val="00C1685D"/>
    <w:rsid w:val="00D35332"/>
    <w:rsid w:val="00EC5631"/>
    <w:rsid w:val="03375607"/>
    <w:rsid w:val="0572183A"/>
    <w:rsid w:val="07151565"/>
    <w:rsid w:val="089507D1"/>
    <w:rsid w:val="09E45A7E"/>
    <w:rsid w:val="0A2D6E35"/>
    <w:rsid w:val="0D653B98"/>
    <w:rsid w:val="111203DE"/>
    <w:rsid w:val="14F11F75"/>
    <w:rsid w:val="163D01EF"/>
    <w:rsid w:val="16F828E3"/>
    <w:rsid w:val="19EB50F2"/>
    <w:rsid w:val="1C990713"/>
    <w:rsid w:val="1D777E15"/>
    <w:rsid w:val="239F0D22"/>
    <w:rsid w:val="24171F0E"/>
    <w:rsid w:val="26417D9B"/>
    <w:rsid w:val="294B7E68"/>
    <w:rsid w:val="2C84253F"/>
    <w:rsid w:val="2EF115B2"/>
    <w:rsid w:val="307A7863"/>
    <w:rsid w:val="396E3DEA"/>
    <w:rsid w:val="3CFE6A9B"/>
    <w:rsid w:val="45F869A9"/>
    <w:rsid w:val="49CC72A0"/>
    <w:rsid w:val="49E50C2F"/>
    <w:rsid w:val="56911215"/>
    <w:rsid w:val="5D93402C"/>
    <w:rsid w:val="6137499F"/>
    <w:rsid w:val="62F82DE8"/>
    <w:rsid w:val="64A23A25"/>
    <w:rsid w:val="6D6C2F9F"/>
    <w:rsid w:val="6EA6378F"/>
    <w:rsid w:val="6ED75AD0"/>
    <w:rsid w:val="6FDF3AA5"/>
    <w:rsid w:val="70CB34F3"/>
    <w:rsid w:val="75573DFF"/>
    <w:rsid w:val="77693C72"/>
    <w:rsid w:val="79FA3596"/>
    <w:rsid w:val="7ABC1BE4"/>
    <w:rsid w:val="7BE93720"/>
    <w:rsid w:val="7DC6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608</Characters>
  <Application>Microsoft Office Word</Application>
  <DocSecurity>0</DocSecurity>
  <Lines>5</Lines>
  <Paragraphs>1</Paragraphs>
  <ScaleCrop>false</ScaleCrop>
  <Company>Sky123.Org</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2019-03-18T03:20:00Z</cp:lastPrinted>
  <dcterms:created xsi:type="dcterms:W3CDTF">2019-03-24T00:55:00Z</dcterms:created>
  <dcterms:modified xsi:type="dcterms:W3CDTF">2019-03-24T00:55:00Z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